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FA" w:rsidRPr="00AF0E06" w:rsidRDefault="00C753FA" w:rsidP="00C753FA">
      <w:pPr>
        <w:spacing w:after="0" w:line="240" w:lineRule="auto"/>
        <w:jc w:val="center"/>
        <w:rPr>
          <w:b/>
          <w:bCs/>
          <w:shadow/>
          <w:sz w:val="16"/>
          <w:szCs w:val="30"/>
        </w:rPr>
      </w:pPr>
      <w:proofErr w:type="spellStart"/>
      <w:r w:rsidRPr="00AF0E06">
        <w:rPr>
          <w:b/>
          <w:bCs/>
          <w:shadow/>
          <w:szCs w:val="30"/>
        </w:rPr>
        <w:t>Mahajana</w:t>
      </w:r>
      <w:proofErr w:type="spellEnd"/>
      <w:r w:rsidRPr="00AF0E06">
        <w:rPr>
          <w:b/>
          <w:bCs/>
          <w:shadow/>
          <w:szCs w:val="30"/>
        </w:rPr>
        <w:t xml:space="preserve"> Education Society </w:t>
      </w:r>
      <w:r w:rsidRPr="00AF0E06">
        <w:rPr>
          <w:b/>
          <w:bCs/>
          <w:shadow/>
          <w:sz w:val="16"/>
          <w:szCs w:val="30"/>
        </w:rPr>
        <w:t>(R)</w:t>
      </w:r>
    </w:p>
    <w:p w:rsidR="00C753FA" w:rsidRPr="00AF0E06" w:rsidRDefault="00C753FA" w:rsidP="00C753FA">
      <w:pPr>
        <w:spacing w:after="0" w:line="240" w:lineRule="auto"/>
        <w:jc w:val="center"/>
        <w:rPr>
          <w:b/>
          <w:bCs/>
          <w:shadow/>
          <w:szCs w:val="30"/>
        </w:rPr>
      </w:pPr>
      <w:r w:rsidRPr="00AF0E06">
        <w:rPr>
          <w:b/>
          <w:bCs/>
          <w:shadow/>
          <w:szCs w:val="30"/>
        </w:rPr>
        <w:t>Education to Excel</w:t>
      </w:r>
    </w:p>
    <w:p w:rsidR="00C753FA" w:rsidRPr="00F22960" w:rsidRDefault="00C753FA" w:rsidP="00C753FA">
      <w:pPr>
        <w:spacing w:after="0" w:line="240" w:lineRule="auto"/>
        <w:jc w:val="center"/>
        <w:rPr>
          <w:b/>
          <w:bCs/>
          <w:shadow/>
          <w:sz w:val="34"/>
          <w:szCs w:val="32"/>
        </w:rPr>
      </w:pPr>
      <w:r w:rsidRPr="00F22960">
        <w:rPr>
          <w:b/>
          <w:bCs/>
          <w:shadow/>
          <w:sz w:val="34"/>
          <w:szCs w:val="32"/>
        </w:rPr>
        <w:t xml:space="preserve">SBRR </w:t>
      </w:r>
      <w:proofErr w:type="spellStart"/>
      <w:r w:rsidRPr="00F22960">
        <w:rPr>
          <w:b/>
          <w:bCs/>
          <w:shadow/>
          <w:sz w:val="34"/>
          <w:szCs w:val="32"/>
        </w:rPr>
        <w:t>Mahajana</w:t>
      </w:r>
      <w:proofErr w:type="spellEnd"/>
      <w:r w:rsidRPr="00F22960">
        <w:rPr>
          <w:b/>
          <w:bCs/>
          <w:shadow/>
          <w:sz w:val="34"/>
          <w:szCs w:val="32"/>
        </w:rPr>
        <w:t xml:space="preserve"> First Grade College (Autonomous)</w:t>
      </w:r>
    </w:p>
    <w:p w:rsidR="00C753FA" w:rsidRPr="00AF0E06" w:rsidRDefault="00C753FA" w:rsidP="00C753FA">
      <w:pPr>
        <w:pStyle w:val="Subtitle"/>
        <w:rPr>
          <w:sz w:val="22"/>
          <w:szCs w:val="28"/>
        </w:rPr>
      </w:pPr>
      <w:proofErr w:type="spellStart"/>
      <w:r w:rsidRPr="00AF0E06">
        <w:rPr>
          <w:sz w:val="22"/>
          <w:szCs w:val="28"/>
        </w:rPr>
        <w:t>Jayalakshmipuram</w:t>
      </w:r>
      <w:proofErr w:type="spellEnd"/>
      <w:r w:rsidRPr="00AF0E06">
        <w:rPr>
          <w:sz w:val="22"/>
          <w:szCs w:val="28"/>
        </w:rPr>
        <w:t xml:space="preserve">, </w:t>
      </w:r>
      <w:proofErr w:type="spellStart"/>
      <w:r w:rsidRPr="00AF0E06">
        <w:rPr>
          <w:sz w:val="22"/>
          <w:szCs w:val="28"/>
        </w:rPr>
        <w:t>Mysuru</w:t>
      </w:r>
      <w:proofErr w:type="spellEnd"/>
      <w:r w:rsidRPr="00AF0E06">
        <w:rPr>
          <w:sz w:val="22"/>
          <w:szCs w:val="28"/>
        </w:rPr>
        <w:t xml:space="preserve"> – 570 012 Karnataka, INDIA</w:t>
      </w:r>
    </w:p>
    <w:p w:rsidR="00C753FA" w:rsidRPr="00AF0E06" w:rsidRDefault="00C753FA" w:rsidP="00C753FA">
      <w:pPr>
        <w:pStyle w:val="Title"/>
        <w:rPr>
          <w:b/>
          <w:bCs/>
          <w:sz w:val="22"/>
          <w:szCs w:val="28"/>
        </w:rPr>
      </w:pPr>
      <w:r w:rsidRPr="00AF0E06">
        <w:rPr>
          <w:noProof/>
          <w:sz w:val="22"/>
          <w:szCs w:val="28"/>
        </w:rPr>
        <w:t>Affiliated to University of Mysore,</w:t>
      </w:r>
      <w:r w:rsidRPr="00AF0E06">
        <w:rPr>
          <w:b/>
          <w:bCs/>
          <w:sz w:val="22"/>
          <w:szCs w:val="28"/>
        </w:rPr>
        <w:t xml:space="preserve"> </w:t>
      </w:r>
    </w:p>
    <w:p w:rsidR="00C753FA" w:rsidRDefault="00C753FA" w:rsidP="00C753FA">
      <w:pPr>
        <w:spacing w:after="0" w:line="240" w:lineRule="auto"/>
        <w:jc w:val="center"/>
        <w:rPr>
          <w:bCs/>
          <w:sz w:val="20"/>
          <w:szCs w:val="26"/>
        </w:rPr>
      </w:pPr>
      <w:r w:rsidRPr="00AF0E06">
        <w:rPr>
          <w:sz w:val="20"/>
          <w:szCs w:val="26"/>
        </w:rPr>
        <w:t xml:space="preserve">Re-Accredited by NAAC with ‘A’ Grade, </w:t>
      </w:r>
      <w:r w:rsidRPr="00AF0E06">
        <w:rPr>
          <w:bCs/>
          <w:sz w:val="20"/>
          <w:szCs w:val="26"/>
        </w:rPr>
        <w:t>College with Potential for Excellence</w:t>
      </w:r>
    </w:p>
    <w:p w:rsidR="00C753FA" w:rsidRDefault="00C753FA" w:rsidP="00C753FA">
      <w:pPr>
        <w:spacing w:after="0" w:line="240" w:lineRule="auto"/>
        <w:jc w:val="center"/>
        <w:rPr>
          <w:rFonts w:ascii="Times New Roman" w:hAnsi="Times New Roman" w:cs="Times New Roman"/>
          <w:b/>
          <w:sz w:val="32"/>
          <w:szCs w:val="16"/>
          <w:shd w:val="clear" w:color="auto" w:fill="FFFFFF"/>
        </w:rPr>
      </w:pPr>
    </w:p>
    <w:p w:rsidR="00C753FA" w:rsidRDefault="00C753FA" w:rsidP="00C753FA">
      <w:pPr>
        <w:spacing w:after="0" w:line="240" w:lineRule="auto"/>
        <w:jc w:val="center"/>
        <w:rPr>
          <w:rFonts w:ascii="Times New Roman" w:hAnsi="Times New Roman" w:cs="Times New Roman"/>
          <w:b/>
          <w:sz w:val="32"/>
          <w:szCs w:val="16"/>
          <w:shd w:val="clear" w:color="auto" w:fill="FFFFFF"/>
        </w:rPr>
      </w:pPr>
    </w:p>
    <w:p w:rsidR="00C753FA" w:rsidRPr="00487D5C" w:rsidRDefault="00C753FA" w:rsidP="00C753FA">
      <w:pPr>
        <w:spacing w:after="0" w:line="240" w:lineRule="auto"/>
        <w:jc w:val="center"/>
        <w:rPr>
          <w:rFonts w:ascii="Times New Roman" w:hAnsi="Times New Roman" w:cs="Times New Roman"/>
          <w:b/>
          <w:sz w:val="32"/>
          <w:szCs w:val="16"/>
          <w:shd w:val="clear" w:color="auto" w:fill="FFFFFF"/>
        </w:rPr>
      </w:pPr>
      <w:r w:rsidRPr="00487D5C">
        <w:rPr>
          <w:rFonts w:ascii="Times New Roman" w:hAnsi="Times New Roman" w:cs="Times New Roman"/>
          <w:b/>
          <w:sz w:val="32"/>
          <w:szCs w:val="16"/>
          <w:shd w:val="clear" w:color="auto" w:fill="FFFFFF"/>
        </w:rPr>
        <w:t>Best Practices</w:t>
      </w:r>
    </w:p>
    <w:p w:rsidR="00C753FA" w:rsidRDefault="00C753FA" w:rsidP="00C753FA">
      <w:pPr>
        <w:spacing w:after="0" w:line="240" w:lineRule="auto"/>
        <w:rPr>
          <w:rFonts w:ascii="Times New Roman" w:hAnsi="Times New Roman" w:cs="Times New Roman"/>
          <w:sz w:val="24"/>
          <w:szCs w:val="16"/>
          <w:shd w:val="clear" w:color="auto" w:fill="FFFFFF"/>
        </w:rPr>
      </w:pPr>
    </w:p>
    <w:p w:rsidR="00C753FA" w:rsidRPr="00487D5C" w:rsidRDefault="00C753FA" w:rsidP="00C753FA">
      <w:pPr>
        <w:spacing w:after="0" w:line="360" w:lineRule="auto"/>
        <w:jc w:val="both"/>
        <w:rPr>
          <w:rFonts w:ascii="Times New Roman" w:hAnsi="Times New Roman" w:cs="Times New Roman"/>
          <w:sz w:val="26"/>
          <w:szCs w:val="16"/>
          <w:shd w:val="clear" w:color="auto" w:fill="FFFFFF"/>
        </w:rPr>
      </w:pPr>
      <w:r w:rsidRPr="00C753FA">
        <w:rPr>
          <w:rFonts w:ascii="Times New Roman" w:hAnsi="Times New Roman" w:cs="Times New Roman"/>
          <w:b/>
          <w:sz w:val="28"/>
          <w:szCs w:val="16"/>
          <w:shd w:val="clear" w:color="auto" w:fill="FFFFFF"/>
        </w:rPr>
        <w:t>Weekly Assembly</w:t>
      </w:r>
      <w:r w:rsidRPr="00487D5C">
        <w:rPr>
          <w:rFonts w:ascii="Times New Roman" w:hAnsi="Times New Roman" w:cs="Times New Roman"/>
          <w:sz w:val="26"/>
          <w:szCs w:val="16"/>
          <w:shd w:val="clear" w:color="auto" w:fill="FFFFFF"/>
        </w:rPr>
        <w:t xml:space="preserve">- An event where talent is acknowledged and appreciated, a platform for college newsletter releases – Achiever, </w:t>
      </w:r>
      <w:proofErr w:type="spellStart"/>
      <w:r w:rsidRPr="00487D5C">
        <w:rPr>
          <w:rFonts w:ascii="Times New Roman" w:hAnsi="Times New Roman" w:cs="Times New Roman"/>
          <w:sz w:val="26"/>
          <w:szCs w:val="16"/>
          <w:shd w:val="clear" w:color="auto" w:fill="FFFFFF"/>
        </w:rPr>
        <w:t>Vichara</w:t>
      </w:r>
      <w:proofErr w:type="spellEnd"/>
      <w:r w:rsidRPr="00487D5C">
        <w:rPr>
          <w:rFonts w:ascii="Times New Roman" w:hAnsi="Times New Roman" w:cs="Times New Roman"/>
          <w:sz w:val="26"/>
          <w:szCs w:val="16"/>
          <w:shd w:val="clear" w:color="auto" w:fill="FFFFFF"/>
        </w:rPr>
        <w:t xml:space="preserve">, </w:t>
      </w:r>
      <w:proofErr w:type="spellStart"/>
      <w:r w:rsidRPr="00487D5C">
        <w:rPr>
          <w:rFonts w:ascii="Times New Roman" w:hAnsi="Times New Roman" w:cs="Times New Roman"/>
          <w:sz w:val="26"/>
          <w:szCs w:val="16"/>
          <w:shd w:val="clear" w:color="auto" w:fill="FFFFFF"/>
        </w:rPr>
        <w:t>Infolet</w:t>
      </w:r>
      <w:proofErr w:type="spellEnd"/>
      <w:r w:rsidRPr="00487D5C">
        <w:rPr>
          <w:rFonts w:ascii="Times New Roman" w:hAnsi="Times New Roman" w:cs="Times New Roman"/>
          <w:sz w:val="26"/>
          <w:szCs w:val="16"/>
          <w:shd w:val="clear" w:color="auto" w:fill="FFFFFF"/>
        </w:rPr>
        <w:t xml:space="preserve">, Capitol, </w:t>
      </w:r>
      <w:proofErr w:type="spellStart"/>
      <w:r w:rsidRPr="00487D5C">
        <w:rPr>
          <w:rFonts w:ascii="Times New Roman" w:hAnsi="Times New Roman" w:cs="Times New Roman"/>
          <w:sz w:val="26"/>
          <w:szCs w:val="16"/>
          <w:shd w:val="clear" w:color="auto" w:fill="FFFFFF"/>
        </w:rPr>
        <w:t>Kadamba</w:t>
      </w:r>
      <w:proofErr w:type="spellEnd"/>
      <w:r w:rsidRPr="00487D5C">
        <w:rPr>
          <w:rFonts w:ascii="Times New Roman" w:hAnsi="Times New Roman" w:cs="Times New Roman"/>
          <w:sz w:val="26"/>
          <w:szCs w:val="16"/>
          <w:shd w:val="clear" w:color="auto" w:fill="FFFFFF"/>
        </w:rPr>
        <w:t xml:space="preserve">, Muses, </w:t>
      </w:r>
      <w:proofErr w:type="spellStart"/>
      <w:r w:rsidRPr="00487D5C">
        <w:rPr>
          <w:rFonts w:ascii="Times New Roman" w:hAnsi="Times New Roman" w:cs="Times New Roman"/>
          <w:sz w:val="26"/>
          <w:szCs w:val="16"/>
          <w:shd w:val="clear" w:color="auto" w:fill="FFFFFF"/>
        </w:rPr>
        <w:t>Spoorthi</w:t>
      </w:r>
      <w:proofErr w:type="spellEnd"/>
      <w:r w:rsidRPr="00487D5C">
        <w:rPr>
          <w:rFonts w:ascii="Times New Roman" w:hAnsi="Times New Roman" w:cs="Times New Roman"/>
          <w:sz w:val="26"/>
          <w:szCs w:val="16"/>
          <w:shd w:val="clear" w:color="auto" w:fill="FFFFFF"/>
        </w:rPr>
        <w:t xml:space="preserve">, </w:t>
      </w:r>
      <w:proofErr w:type="spellStart"/>
      <w:r w:rsidRPr="00487D5C">
        <w:rPr>
          <w:rFonts w:ascii="Times New Roman" w:hAnsi="Times New Roman" w:cs="Times New Roman"/>
          <w:sz w:val="26"/>
          <w:szCs w:val="16"/>
          <w:shd w:val="clear" w:color="auto" w:fill="FFFFFF"/>
        </w:rPr>
        <w:t>Kautilya</w:t>
      </w:r>
      <w:proofErr w:type="spellEnd"/>
      <w:r w:rsidRPr="00487D5C">
        <w:rPr>
          <w:rFonts w:ascii="Times New Roman" w:hAnsi="Times New Roman" w:cs="Times New Roman"/>
          <w:sz w:val="26"/>
          <w:szCs w:val="16"/>
          <w:shd w:val="clear" w:color="auto" w:fill="FFFFFF"/>
        </w:rPr>
        <w:t xml:space="preserve"> etc,  birthday greetings and charity announcements are also an  interesting part of this event. Assembly commences with the rendering of the State Anthem and concludes with the National Anthem. This platform ensures the direct dissemination of information of the events past and future week, information relating to key issues such as announcement of examination scheduling, payment of fees and call for volunteers of activities. This is held on every working Saturday between 10.30 a.m. and 11.00 a.m.</w:t>
      </w:r>
    </w:p>
    <w:p w:rsidR="00C753FA" w:rsidRPr="00487D5C" w:rsidRDefault="00C753FA" w:rsidP="00C753FA">
      <w:pPr>
        <w:spacing w:after="0" w:line="360" w:lineRule="auto"/>
        <w:jc w:val="both"/>
        <w:rPr>
          <w:rFonts w:ascii="Times New Roman" w:hAnsi="Times New Roman" w:cs="Times New Roman"/>
          <w:sz w:val="26"/>
          <w:szCs w:val="16"/>
          <w:shd w:val="clear" w:color="auto" w:fill="FFFFFF"/>
        </w:rPr>
      </w:pPr>
    </w:p>
    <w:p w:rsidR="00C753FA" w:rsidRPr="00487D5C" w:rsidRDefault="00C753FA" w:rsidP="00C753FA">
      <w:pPr>
        <w:spacing w:after="0" w:line="360" w:lineRule="auto"/>
        <w:jc w:val="both"/>
        <w:rPr>
          <w:rFonts w:ascii="Times New Roman" w:hAnsi="Times New Roman" w:cs="Times New Roman"/>
          <w:sz w:val="26"/>
          <w:szCs w:val="16"/>
          <w:shd w:val="clear" w:color="auto" w:fill="FFFFFF"/>
        </w:rPr>
      </w:pPr>
      <w:r w:rsidRPr="00C753FA">
        <w:rPr>
          <w:rFonts w:ascii="Times New Roman" w:hAnsi="Times New Roman" w:cs="Times New Roman"/>
          <w:b/>
          <w:sz w:val="28"/>
          <w:szCs w:val="16"/>
          <w:shd w:val="clear" w:color="auto" w:fill="FFFFFF"/>
        </w:rPr>
        <w:t>Education Report</w:t>
      </w:r>
      <w:r w:rsidRPr="00487D5C">
        <w:rPr>
          <w:rFonts w:ascii="Times New Roman" w:hAnsi="Times New Roman" w:cs="Times New Roman"/>
          <w:sz w:val="26"/>
          <w:szCs w:val="16"/>
          <w:shd w:val="clear" w:color="auto" w:fill="FFFFFF"/>
        </w:rPr>
        <w:t xml:space="preserve">- Is a detailed document printed annually reporting all the activities of the departments and the various committees and </w:t>
      </w:r>
      <w:proofErr w:type="spellStart"/>
      <w:r w:rsidRPr="00487D5C">
        <w:rPr>
          <w:rFonts w:ascii="Times New Roman" w:hAnsi="Times New Roman" w:cs="Times New Roman"/>
          <w:sz w:val="26"/>
          <w:szCs w:val="16"/>
          <w:shd w:val="clear" w:color="auto" w:fill="FFFFFF"/>
        </w:rPr>
        <w:t>foras</w:t>
      </w:r>
      <w:proofErr w:type="spellEnd"/>
      <w:r w:rsidRPr="00487D5C">
        <w:rPr>
          <w:rFonts w:ascii="Times New Roman" w:hAnsi="Times New Roman" w:cs="Times New Roman"/>
          <w:sz w:val="26"/>
          <w:szCs w:val="16"/>
          <w:shd w:val="clear" w:color="auto" w:fill="FFFFFF"/>
        </w:rPr>
        <w:t>. It provides information on faculty wise admission details, result analysis, performance of the college and also the synoptic overview of all the Departments and ASIC committee activities conducted for the period.</w:t>
      </w:r>
    </w:p>
    <w:p w:rsidR="00D36BC1" w:rsidRDefault="00D36BC1"/>
    <w:sectPr w:rsidR="00D36BC1" w:rsidSect="00D36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753FA"/>
    <w:rsid w:val="00C753FA"/>
    <w:rsid w:val="00D36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53F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C753FA"/>
    <w:rPr>
      <w:rFonts w:ascii="Times New Roman" w:eastAsia="Times New Roman" w:hAnsi="Times New Roman" w:cs="Times New Roman"/>
      <w:sz w:val="36"/>
      <w:szCs w:val="24"/>
    </w:rPr>
  </w:style>
  <w:style w:type="paragraph" w:styleId="Subtitle">
    <w:name w:val="Subtitle"/>
    <w:basedOn w:val="Normal"/>
    <w:link w:val="SubtitleChar"/>
    <w:qFormat/>
    <w:rsid w:val="00C753FA"/>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C753F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poornimas</dc:creator>
  <cp:lastModifiedBy>poornimas</cp:lastModifiedBy>
  <cp:revision>1</cp:revision>
  <dcterms:created xsi:type="dcterms:W3CDTF">2020-10-06T08:08:00Z</dcterms:created>
  <dcterms:modified xsi:type="dcterms:W3CDTF">2020-10-06T08:09:00Z</dcterms:modified>
</cp:coreProperties>
</file>